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B" w:rsidRDefault="00A600DB" w:rsidP="00D53506">
      <w:pPr>
        <w:pStyle w:val="Default"/>
        <w:spacing w:before="120" w:after="120" w:line="360" w:lineRule="auto"/>
        <w:ind w:left="284" w:right="284" w:firstLine="284"/>
        <w:jc w:val="both"/>
        <w:rPr>
          <w:rFonts w:ascii="Garamond" w:hAnsi="Garamond"/>
          <w:color w:val="auto"/>
          <w:sz w:val="28"/>
          <w:szCs w:val="28"/>
        </w:rPr>
      </w:pPr>
    </w:p>
    <w:p w:rsidR="00A600DB" w:rsidRDefault="00A600DB" w:rsidP="00D53506">
      <w:pPr>
        <w:pStyle w:val="Default"/>
        <w:spacing w:before="120" w:after="120" w:line="360" w:lineRule="auto"/>
        <w:ind w:left="284" w:right="284" w:firstLine="284"/>
        <w:jc w:val="both"/>
        <w:rPr>
          <w:rFonts w:ascii="Garamond" w:hAnsi="Garamond"/>
          <w:color w:val="auto"/>
          <w:sz w:val="28"/>
          <w:szCs w:val="28"/>
        </w:rPr>
      </w:pPr>
    </w:p>
    <w:p w:rsidR="00933E9C" w:rsidRDefault="00933E9C" w:rsidP="00D53506">
      <w:pPr>
        <w:pStyle w:val="Paragrafoelenco"/>
        <w:spacing w:before="120" w:after="120" w:line="360" w:lineRule="auto"/>
        <w:ind w:left="284" w:right="284"/>
        <w:jc w:val="center"/>
        <w:rPr>
          <w:rFonts w:ascii="Garamond" w:hAnsi="Garamond"/>
          <w:b/>
          <w:color w:val="000000"/>
          <w:sz w:val="28"/>
          <w:szCs w:val="28"/>
        </w:rPr>
      </w:pPr>
      <w:r w:rsidRPr="007F0274">
        <w:rPr>
          <w:rFonts w:ascii="Garamond" w:hAnsi="Garamond"/>
          <w:b/>
          <w:color w:val="000000"/>
          <w:sz w:val="28"/>
          <w:szCs w:val="28"/>
        </w:rPr>
        <w:t xml:space="preserve">Principio della </w:t>
      </w:r>
      <w:r>
        <w:rPr>
          <w:rFonts w:ascii="Garamond" w:hAnsi="Garamond"/>
          <w:b/>
          <w:color w:val="000000"/>
          <w:sz w:val="28"/>
          <w:szCs w:val="28"/>
        </w:rPr>
        <w:t>c</w:t>
      </w:r>
      <w:r w:rsidRPr="007F0274">
        <w:rPr>
          <w:rFonts w:ascii="Garamond" w:hAnsi="Garamond"/>
          <w:b/>
          <w:color w:val="000000"/>
          <w:sz w:val="28"/>
          <w:szCs w:val="28"/>
        </w:rPr>
        <w:t>ompetenza finanziaria</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Il principio della competenza finanziaria costituisce il criterio di imputazione agli esercizi finanziari delle obbligazioni giuridicamente perfezionate attive e passive (accertamenti e impegni).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Il principio è applicato solo a quei documenti di natura finanziaria che compongono il sistema di bilancio di ogni pubblica amministrazione che adotta la contabilità finanziaria, e attua il contenuto autorizzatorio degli stanziamenti del bilancio di previsione.</w:t>
      </w:r>
    </w:p>
    <w:p w:rsidR="00C90A0D"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Il bilancio di previsione annuale e il bilancio di previsione pluriennale hanno carattere autorizzatorio,  costituendo limite agli impegni di spesa, fatta eccezione per le partite di giro/servizi per conto di terzi e per i rimborsi delle anticipazioni di </w:t>
      </w:r>
      <w:r w:rsidRPr="00CE4D63">
        <w:rPr>
          <w:rFonts w:ascii="Garamond" w:hAnsi="Garamond"/>
          <w:color w:val="auto"/>
          <w:sz w:val="28"/>
          <w:szCs w:val="28"/>
        </w:rPr>
        <w:t xml:space="preserve">cassa. </w:t>
      </w:r>
      <w:r w:rsidR="00C90A0D" w:rsidRPr="00CE4D63">
        <w:rPr>
          <w:rFonts w:ascii="Garamond" w:hAnsi="Garamond"/>
          <w:color w:val="auto"/>
          <w:sz w:val="28"/>
          <w:szCs w:val="28"/>
        </w:rPr>
        <w:t xml:space="preserve">La funzione </w:t>
      </w:r>
      <w:r w:rsidR="00ED25CC" w:rsidRPr="00CE4D63">
        <w:rPr>
          <w:rFonts w:ascii="Garamond" w:hAnsi="Garamond"/>
          <w:color w:val="auto"/>
          <w:sz w:val="28"/>
          <w:szCs w:val="28"/>
        </w:rPr>
        <w:t>autorizzato</w:t>
      </w:r>
      <w:r w:rsidR="00C90A0D" w:rsidRPr="00CE4D63">
        <w:rPr>
          <w:rFonts w:ascii="Garamond" w:hAnsi="Garamond"/>
          <w:color w:val="auto"/>
          <w:sz w:val="28"/>
          <w:szCs w:val="28"/>
        </w:rPr>
        <w:t>ria fa riferimento anche alle entrate per accensione di prestiti</w:t>
      </w:r>
      <w:r w:rsidR="000077EC" w:rsidRPr="00CE4D63">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Gli stanziamenti del bilancio pluriennale sono aggiornati annualmente in sede di approvazione del bilancio di previsione.</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Tutte le obbligazioni giuridicamente  perfezionate attive e passive,  che danno </w:t>
      </w:r>
      <w:r w:rsidRPr="002E17B4">
        <w:rPr>
          <w:rFonts w:ascii="Garamond" w:hAnsi="Garamond"/>
          <w:color w:val="auto"/>
          <w:sz w:val="28"/>
          <w:szCs w:val="28"/>
        </w:rPr>
        <w:t xml:space="preserve">luogo a  entrate e spese per l’ente, devono essere registrate nelle scritture contabili </w:t>
      </w:r>
      <w:r w:rsidR="00683C4B" w:rsidRPr="002E17B4">
        <w:rPr>
          <w:rFonts w:ascii="Garamond" w:hAnsi="Garamond"/>
          <w:color w:val="auto"/>
          <w:sz w:val="28"/>
          <w:szCs w:val="28"/>
        </w:rPr>
        <w:t xml:space="preserve">quando l’obbligazione è perfezionata, con imputazione </w:t>
      </w:r>
      <w:r w:rsidRPr="002E17B4">
        <w:rPr>
          <w:rFonts w:ascii="Garamond" w:hAnsi="Garamond"/>
          <w:color w:val="auto"/>
          <w:sz w:val="28"/>
          <w:szCs w:val="28"/>
        </w:rPr>
        <w:t>all’esercizio in cui l’obbligazione viene a scadenza.</w:t>
      </w:r>
      <w:r w:rsidR="00B263F8" w:rsidRPr="002E17B4">
        <w:rPr>
          <w:rFonts w:ascii="Garamond" w:hAnsi="Garamond"/>
          <w:color w:val="auto"/>
          <w:sz w:val="28"/>
          <w:szCs w:val="28"/>
        </w:rPr>
        <w:t xml:space="preserve"> E’ in ogni</w:t>
      </w:r>
      <w:r w:rsidR="00B263F8">
        <w:rPr>
          <w:rFonts w:ascii="Garamond" w:hAnsi="Garamond"/>
          <w:color w:val="auto"/>
          <w:sz w:val="28"/>
          <w:szCs w:val="28"/>
        </w:rPr>
        <w:t xml:space="preserve"> caso, fatta salva la piena copertura finanziaria degli impegni di spesa giuridicamente assunti a prescindere dall’esercizio finanziario in cui gli stessi sono imputati.</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L’accertamento costituisce la fase dell’entrata con la quale si perfeziona  un diritto di credito relativo ad una riscossione da realizzare e si imputa contabilmente all’esercizio finanziario nel quale il diritto di credito viene a scadenza.</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lastRenderedPageBreak/>
        <w:t>L’accertamento presuppone idonea documentazione, attraverso la quale sono verificati e attestati  dal soggetto cui è affidata la gestione della relativa entrata, i seguenti requisiti:</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(a) la ragione del credito che da luogo a obbligazione attiva;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(b) il titolo giuridico che supporta il credito;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(c) l’individuazione del soggetto debitore;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(d) l’ammontare del credito;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(e) la relativa scadenza.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Non possono essere riferite ad un determinato esercizio finanziario le entrate per le quali non sia venuto a scadere nello stesso esercizio finanziario  il diritto di credito. E’ esclusa categoricamente  la possibilità di   accertamento attuale di entrate future in quanto ciò darebbe luogo ad un’anticipazione di impieghi (ed ai relativi oneri) in attesa dell’effettivo maturare della scadenza del titolo giuridico dell’entrata futura, con la conseguenza di alterare gli equilibri finanziari dell’esercizio finanziario.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L’impegno costituisce la fase della spesa con la quale viene  registrata nelle scritture contabili  la spesa conseguente ad  una obbligazione giuridicamente perfezionata e relativa ad un pagamento da effettuare, con imputazione all’esercizio finanziario  in cui l’obbligazione passiva viene a scadenza.</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Gli elementi costitutivi dell’impegno sono: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(a) la ragione del debito;</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(b) la determinazione della somma da pagare; </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(c) il soggetto creditore; </w:t>
      </w:r>
    </w:p>
    <w:p w:rsidR="00736FFD"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 (d) la specificazione del vincolo costituito sullo stanziamento di bilancio</w:t>
      </w:r>
    </w:p>
    <w:p w:rsidR="008C20A9" w:rsidRPr="00F01B84" w:rsidRDefault="00736FFD" w:rsidP="008C20A9">
      <w:pPr>
        <w:pStyle w:val="Default"/>
        <w:spacing w:before="120" w:after="120" w:line="360" w:lineRule="auto"/>
        <w:ind w:left="284" w:right="284" w:firstLine="284"/>
        <w:jc w:val="both"/>
        <w:rPr>
          <w:rFonts w:ascii="Garamond" w:hAnsi="Garamond"/>
          <w:color w:val="auto"/>
          <w:sz w:val="28"/>
          <w:szCs w:val="28"/>
        </w:rPr>
      </w:pPr>
      <w:r>
        <w:rPr>
          <w:rFonts w:ascii="Garamond" w:hAnsi="Garamond"/>
          <w:color w:val="auto"/>
          <w:sz w:val="28"/>
          <w:szCs w:val="28"/>
        </w:rPr>
        <w:t>(e) la relativa scadenza</w:t>
      </w:r>
      <w:r w:rsidR="008C20A9" w:rsidRPr="00F01B84">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lastRenderedPageBreak/>
        <w:t xml:space="preserve"> Non possono essere riferite ad un determinato esercizio finanziario le spese per le quali non sia venuta a scadere nello stesso esercizio finanziario la relativa obbligazione giuridica.</w:t>
      </w:r>
    </w:p>
    <w:p w:rsidR="008C20A9"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  In ogni caso, </w:t>
      </w:r>
      <w:r w:rsidR="007C6241">
        <w:rPr>
          <w:rFonts w:ascii="Garamond" w:hAnsi="Garamond"/>
          <w:color w:val="auto"/>
          <w:sz w:val="28"/>
          <w:szCs w:val="28"/>
        </w:rPr>
        <w:t xml:space="preserve"> </w:t>
      </w:r>
      <w:r w:rsidRPr="00F01B84">
        <w:rPr>
          <w:rFonts w:ascii="Garamond" w:hAnsi="Garamond"/>
          <w:color w:val="auto"/>
          <w:sz w:val="28"/>
          <w:szCs w:val="28"/>
        </w:rPr>
        <w:t>per l’attività di  investimento che comporta impegni di spesa che vengono a scadenza in più esercizi finanziari, deve essere  dato  specificamente  atto  - al momento  dell’attivazione del primo impegno -  di aver predisposto la  copertura finanziaria per l’effettuazione della complessiva spesa dell’investimento</w:t>
      </w:r>
      <w:r w:rsidR="0042071A">
        <w:rPr>
          <w:rFonts w:ascii="Garamond" w:hAnsi="Garamond"/>
          <w:color w:val="auto"/>
          <w:sz w:val="28"/>
          <w:szCs w:val="28"/>
        </w:rPr>
        <w:t xml:space="preserve"> </w:t>
      </w:r>
      <w:r w:rsidRPr="00F01B84">
        <w:rPr>
          <w:rFonts w:ascii="Garamond" w:hAnsi="Garamond"/>
          <w:color w:val="auto"/>
          <w:sz w:val="28"/>
          <w:szCs w:val="28"/>
        </w:rPr>
        <w:t xml:space="preserve">, anche se la forma di  copertura è stata già indicata nell’elenco annuale del piano delle opere pubbliche di cui all’articolo 128 del decreto legislativo n. 163 del 2006. </w:t>
      </w:r>
    </w:p>
    <w:p w:rsidR="0042071A" w:rsidRDefault="0042071A" w:rsidP="008C20A9">
      <w:pPr>
        <w:pStyle w:val="Default"/>
        <w:spacing w:before="120" w:after="120" w:line="360" w:lineRule="auto"/>
        <w:ind w:left="284" w:right="284" w:firstLine="284"/>
        <w:jc w:val="both"/>
        <w:rPr>
          <w:rFonts w:ascii="Garamond" w:hAnsi="Garamond"/>
          <w:color w:val="auto"/>
          <w:sz w:val="28"/>
          <w:szCs w:val="28"/>
        </w:rPr>
      </w:pPr>
      <w:r w:rsidRPr="00CE4D63">
        <w:rPr>
          <w:rFonts w:ascii="Garamond" w:hAnsi="Garamond"/>
          <w:color w:val="auto"/>
          <w:sz w:val="28"/>
          <w:szCs w:val="28"/>
        </w:rPr>
        <w:t xml:space="preserve">La copertura finanziaria delle spese di investimento è costituita da risorse accertate </w:t>
      </w:r>
      <w:r w:rsidR="00AE35D7" w:rsidRPr="00CE4D63">
        <w:rPr>
          <w:rFonts w:ascii="Garamond" w:hAnsi="Garamond"/>
          <w:color w:val="auto"/>
          <w:sz w:val="28"/>
          <w:szCs w:val="28"/>
        </w:rPr>
        <w:t xml:space="preserve">esigibili nell’esercizio in corso di gestione o </w:t>
      </w:r>
      <w:r w:rsidRPr="00CE4D63">
        <w:rPr>
          <w:rFonts w:ascii="Garamond" w:hAnsi="Garamond"/>
          <w:color w:val="auto"/>
          <w:sz w:val="28"/>
          <w:szCs w:val="28"/>
        </w:rPr>
        <w:t>la cui esigibilità è nella piena discrezionalità dell’ente o di altra pubblica amministrazione</w:t>
      </w:r>
      <w:r w:rsidR="00685939">
        <w:rPr>
          <w:rFonts w:ascii="Garamond" w:hAnsi="Garamond"/>
          <w:color w:val="auto"/>
          <w:sz w:val="28"/>
          <w:szCs w:val="28"/>
        </w:rPr>
        <w:t>,</w:t>
      </w:r>
      <w:r w:rsidR="00B5311B" w:rsidRPr="00CE4D63">
        <w:rPr>
          <w:rFonts w:ascii="Garamond" w:hAnsi="Garamond"/>
          <w:color w:val="auto"/>
          <w:sz w:val="28"/>
          <w:szCs w:val="28"/>
        </w:rPr>
        <w:t xml:space="preserve"> dall’utilizzo dell’avanzo di </w:t>
      </w:r>
      <w:r w:rsidR="00B5311B" w:rsidRPr="002B6961">
        <w:rPr>
          <w:rFonts w:ascii="Garamond" w:hAnsi="Garamond"/>
          <w:color w:val="auto"/>
          <w:sz w:val="28"/>
          <w:szCs w:val="28"/>
        </w:rPr>
        <w:t>amministrazione</w:t>
      </w:r>
      <w:r w:rsidR="00685939" w:rsidRPr="002B6961">
        <w:rPr>
          <w:rFonts w:ascii="Garamond" w:hAnsi="Garamond"/>
          <w:color w:val="auto"/>
          <w:sz w:val="28"/>
          <w:szCs w:val="28"/>
        </w:rPr>
        <w:t xml:space="preserve"> o di una legge di autorizzazione all’indebitamento</w:t>
      </w:r>
      <w:r w:rsidR="00B5311B" w:rsidRPr="002B6961">
        <w:rPr>
          <w:rFonts w:ascii="Garamond" w:hAnsi="Garamond"/>
          <w:color w:val="auto"/>
          <w:sz w:val="28"/>
          <w:szCs w:val="28"/>
        </w:rPr>
        <w:t>.</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Inoltre, in sede di provvedimento di  salvaguardia degli equilibri di bilancio e anche  di  provvedimento di assestamento generale di bilancio,  è necessario  dare atto  del rispetto degli equilibri di bilancio non solo per la gestione di competenza e la gestione dei residui, ma altresì  dell’equilibrio delle successive  annualità contemplate dal bilancio pluriennale.</w:t>
      </w:r>
    </w:p>
    <w:p w:rsidR="008C20A9" w:rsidRPr="00F01B84" w:rsidRDefault="008C20A9" w:rsidP="008C20A9">
      <w:pPr>
        <w:pStyle w:val="Default"/>
        <w:spacing w:before="120" w:after="120" w:line="360" w:lineRule="auto"/>
        <w:ind w:left="284" w:right="284" w:firstLine="284"/>
        <w:jc w:val="both"/>
        <w:rPr>
          <w:rFonts w:ascii="Garamond" w:hAnsi="Garamond"/>
          <w:color w:val="auto"/>
          <w:sz w:val="28"/>
          <w:szCs w:val="28"/>
        </w:rPr>
      </w:pPr>
      <w:r w:rsidRPr="00F01B84">
        <w:rPr>
          <w:rFonts w:ascii="Garamond" w:hAnsi="Garamond"/>
          <w:color w:val="auto"/>
          <w:sz w:val="28"/>
          <w:szCs w:val="28"/>
        </w:rPr>
        <w:t xml:space="preserve">Gli incassi ed i pagamenti sono imputati allo stesso esercizio in cui il cassiere/tesoriere li ha effettuati. </w:t>
      </w:r>
    </w:p>
    <w:p w:rsidR="008C20A9" w:rsidRPr="00F01B84" w:rsidRDefault="00FC5852" w:rsidP="008C20A9">
      <w:pPr>
        <w:pStyle w:val="Default"/>
        <w:spacing w:before="120" w:after="120" w:line="360" w:lineRule="auto"/>
        <w:ind w:left="284" w:right="284" w:firstLine="284"/>
        <w:jc w:val="both"/>
        <w:rPr>
          <w:rFonts w:ascii="Garamond" w:hAnsi="Garamond"/>
          <w:color w:val="auto"/>
          <w:sz w:val="28"/>
          <w:szCs w:val="28"/>
        </w:rPr>
      </w:pPr>
      <w:r>
        <w:rPr>
          <w:rFonts w:ascii="Garamond" w:hAnsi="Garamond"/>
          <w:color w:val="auto"/>
          <w:sz w:val="28"/>
          <w:szCs w:val="28"/>
        </w:rPr>
        <w:t>Gli incassi ed i</w:t>
      </w:r>
      <w:r w:rsidR="008C20A9" w:rsidRPr="00F01B84">
        <w:rPr>
          <w:rFonts w:ascii="Garamond" w:hAnsi="Garamond"/>
          <w:color w:val="auto"/>
          <w:sz w:val="28"/>
          <w:szCs w:val="28"/>
        </w:rPr>
        <w:t xml:space="preserve"> pagamenti risultanti dai mandati versati all’entrata del bilancio dell</w:t>
      </w:r>
      <w:r w:rsidR="008C20A9">
        <w:rPr>
          <w:rFonts w:ascii="Garamond" w:hAnsi="Garamond"/>
          <w:color w:val="auto"/>
          <w:sz w:val="28"/>
          <w:szCs w:val="28"/>
        </w:rPr>
        <w:t>’</w:t>
      </w:r>
      <w:r w:rsidR="008C20A9" w:rsidRPr="00F01B84">
        <w:rPr>
          <w:rFonts w:ascii="Garamond" w:hAnsi="Garamond"/>
          <w:color w:val="auto"/>
          <w:sz w:val="28"/>
          <w:szCs w:val="28"/>
        </w:rPr>
        <w:t xml:space="preserve"> amministrazione pubblica stessa a seguito di regolazioni contabili (che non danno luogo ad effettivi  incassi e pagamenti) sono imputati all’esercizio cui fanno riferimento i titoli di entrata e di spesa. </w:t>
      </w:r>
    </w:p>
    <w:p w:rsidR="00A600DB" w:rsidRPr="005F7654" w:rsidRDefault="008C20A9" w:rsidP="008D48AC">
      <w:pPr>
        <w:pStyle w:val="Default"/>
        <w:spacing w:before="120" w:after="120" w:line="360" w:lineRule="auto"/>
        <w:ind w:left="284" w:right="284" w:firstLine="284"/>
        <w:jc w:val="both"/>
        <w:rPr>
          <w:rFonts w:ascii="Garamond" w:hAnsi="Garamond"/>
          <w:sz w:val="28"/>
          <w:szCs w:val="28"/>
        </w:rPr>
      </w:pPr>
      <w:r w:rsidRPr="00F01B84">
        <w:rPr>
          <w:rFonts w:ascii="Garamond" w:hAnsi="Garamond"/>
          <w:color w:val="auto"/>
          <w:sz w:val="28"/>
          <w:szCs w:val="28"/>
        </w:rPr>
        <w:t>E’ prevista la coesistenza di documenti contabili finanziari ed economici, in quanto una rappresentazione veritiera della gestione non può prescindere dall’esame di entrambi gli aspetti.</w:t>
      </w:r>
    </w:p>
    <w:sectPr w:rsidR="00A600DB" w:rsidRPr="005F7654" w:rsidSect="00A600DB">
      <w:headerReference w:type="default" r:id="rId7"/>
      <w:footerReference w:type="default" r:id="rId8"/>
      <w:pgSz w:w="11906" w:h="16838"/>
      <w:pgMar w:top="1079"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36" w:rsidRDefault="00894536">
      <w:r>
        <w:separator/>
      </w:r>
    </w:p>
  </w:endnote>
  <w:endnote w:type="continuationSeparator" w:id="0">
    <w:p w:rsidR="00894536" w:rsidRDefault="00894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DB" w:rsidRDefault="00392C6D">
    <w:pPr>
      <w:pStyle w:val="Pidipagina"/>
      <w:jc w:val="center"/>
    </w:pPr>
    <w:fldSimple w:instr=" PAGE   \* MERGEFORMAT ">
      <w:r w:rsidR="00632516">
        <w:rPr>
          <w:noProof/>
        </w:rPr>
        <w:t>1</w:t>
      </w:r>
    </w:fldSimple>
  </w:p>
  <w:p w:rsidR="00A600DB" w:rsidRDefault="00A600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36" w:rsidRDefault="00894536">
      <w:r>
        <w:separator/>
      </w:r>
    </w:p>
  </w:footnote>
  <w:footnote w:type="continuationSeparator" w:id="0">
    <w:p w:rsidR="00894536" w:rsidRDefault="00894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A2" w:rsidRPr="001C7EA2" w:rsidRDefault="001C7EA2" w:rsidP="001C7EA2">
    <w:pPr>
      <w:pStyle w:val="Intestazione"/>
      <w:jc w:val="right"/>
      <w:rPr>
        <w:b/>
      </w:rPr>
    </w:pPr>
    <w:r w:rsidRPr="001C7EA2">
      <w:rPr>
        <w:b/>
      </w:rPr>
      <w:t>Allegato n. 1</w:t>
    </w:r>
  </w:p>
  <w:p w:rsidR="001C7EA2" w:rsidRDefault="001C7E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D5391"/>
    <w:multiLevelType w:val="hybridMultilevel"/>
    <w:tmpl w:val="C7B4BC7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5EAF1ECB"/>
    <w:multiLevelType w:val="hybridMultilevel"/>
    <w:tmpl w:val="95D6B6BE"/>
    <w:lvl w:ilvl="0" w:tplc="483C8700">
      <w:start w:val="1"/>
      <w:numFmt w:val="low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
    <w:nsid w:val="788E3E9D"/>
    <w:multiLevelType w:val="hybridMultilevel"/>
    <w:tmpl w:val="B5BA0E8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933E9C"/>
    <w:rsid w:val="000077EC"/>
    <w:rsid w:val="000103E8"/>
    <w:rsid w:val="0003131A"/>
    <w:rsid w:val="00047A23"/>
    <w:rsid w:val="000832EA"/>
    <w:rsid w:val="00093AC9"/>
    <w:rsid w:val="000B593F"/>
    <w:rsid w:val="000C6D60"/>
    <w:rsid w:val="000F4447"/>
    <w:rsid w:val="00111299"/>
    <w:rsid w:val="00121B53"/>
    <w:rsid w:val="00164AA0"/>
    <w:rsid w:val="00192F2A"/>
    <w:rsid w:val="001C785C"/>
    <w:rsid w:val="001C7EA2"/>
    <w:rsid w:val="002352AB"/>
    <w:rsid w:val="002476F7"/>
    <w:rsid w:val="00250708"/>
    <w:rsid w:val="002637F5"/>
    <w:rsid w:val="002A1FE5"/>
    <w:rsid w:val="002B6961"/>
    <w:rsid w:val="002E17B4"/>
    <w:rsid w:val="002F75EF"/>
    <w:rsid w:val="00306899"/>
    <w:rsid w:val="0032783A"/>
    <w:rsid w:val="00342639"/>
    <w:rsid w:val="00392C6D"/>
    <w:rsid w:val="0042071A"/>
    <w:rsid w:val="00441A97"/>
    <w:rsid w:val="00457102"/>
    <w:rsid w:val="0049624C"/>
    <w:rsid w:val="004D5837"/>
    <w:rsid w:val="005242EC"/>
    <w:rsid w:val="0056356D"/>
    <w:rsid w:val="005927E3"/>
    <w:rsid w:val="00632516"/>
    <w:rsid w:val="006335CF"/>
    <w:rsid w:val="00645071"/>
    <w:rsid w:val="006800A2"/>
    <w:rsid w:val="00683C4B"/>
    <w:rsid w:val="00685939"/>
    <w:rsid w:val="006E14C8"/>
    <w:rsid w:val="00723894"/>
    <w:rsid w:val="00735010"/>
    <w:rsid w:val="00736FFD"/>
    <w:rsid w:val="007828BA"/>
    <w:rsid w:val="00793B72"/>
    <w:rsid w:val="007B249B"/>
    <w:rsid w:val="007B531E"/>
    <w:rsid w:val="007C6241"/>
    <w:rsid w:val="007E647B"/>
    <w:rsid w:val="007E668F"/>
    <w:rsid w:val="00807A41"/>
    <w:rsid w:val="00847CB4"/>
    <w:rsid w:val="0086297B"/>
    <w:rsid w:val="00894536"/>
    <w:rsid w:val="008A1227"/>
    <w:rsid w:val="008A7870"/>
    <w:rsid w:val="008C20A9"/>
    <w:rsid w:val="008D48AC"/>
    <w:rsid w:val="008E2322"/>
    <w:rsid w:val="00910F92"/>
    <w:rsid w:val="00930690"/>
    <w:rsid w:val="00933E9C"/>
    <w:rsid w:val="00972582"/>
    <w:rsid w:val="009A1929"/>
    <w:rsid w:val="009A3B49"/>
    <w:rsid w:val="009B6DF5"/>
    <w:rsid w:val="009C6D18"/>
    <w:rsid w:val="009D2F6E"/>
    <w:rsid w:val="00A15D48"/>
    <w:rsid w:val="00A17040"/>
    <w:rsid w:val="00A36922"/>
    <w:rsid w:val="00A600DB"/>
    <w:rsid w:val="00A8310E"/>
    <w:rsid w:val="00AC3C67"/>
    <w:rsid w:val="00AE35D7"/>
    <w:rsid w:val="00AF76CE"/>
    <w:rsid w:val="00B263F8"/>
    <w:rsid w:val="00B47403"/>
    <w:rsid w:val="00B5311B"/>
    <w:rsid w:val="00B94532"/>
    <w:rsid w:val="00C60F80"/>
    <w:rsid w:val="00C83B8F"/>
    <w:rsid w:val="00C90A0D"/>
    <w:rsid w:val="00CD2F25"/>
    <w:rsid w:val="00CE4D63"/>
    <w:rsid w:val="00D53506"/>
    <w:rsid w:val="00D937D1"/>
    <w:rsid w:val="00DE564E"/>
    <w:rsid w:val="00DF7C1E"/>
    <w:rsid w:val="00E04CE9"/>
    <w:rsid w:val="00E3109C"/>
    <w:rsid w:val="00E406BA"/>
    <w:rsid w:val="00E5474D"/>
    <w:rsid w:val="00E846E6"/>
    <w:rsid w:val="00EA4E86"/>
    <w:rsid w:val="00ED25CC"/>
    <w:rsid w:val="00EE7F21"/>
    <w:rsid w:val="00EF1E2B"/>
    <w:rsid w:val="00F60774"/>
    <w:rsid w:val="00FB6568"/>
    <w:rsid w:val="00FC4A4C"/>
    <w:rsid w:val="00FC5852"/>
    <w:rsid w:val="00FD79E9"/>
    <w:rsid w:val="00FE1A4A"/>
    <w:rsid w:val="00FE6CE8"/>
    <w:rsid w:val="00FF77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33E9C"/>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qFormat/>
    <w:rsid w:val="00933E9C"/>
    <w:pPr>
      <w:keepNext/>
      <w:spacing w:before="240" w:after="60"/>
      <w:outlineLvl w:val="0"/>
    </w:pPr>
    <w:rPr>
      <w:rFonts w:ascii="Cambria" w:eastAsia="Times New Roman" w:hAnsi="Cambria"/>
      <w:b/>
      <w:bCs/>
      <w:kern w:val="32"/>
      <w:sz w:val="32"/>
      <w:szCs w:val="32"/>
    </w:rPr>
  </w:style>
  <w:style w:type="paragraph" w:styleId="Titolo3">
    <w:name w:val="heading 3"/>
    <w:basedOn w:val="Default"/>
    <w:next w:val="Default"/>
    <w:link w:val="Titolo3Carattere"/>
    <w:qFormat/>
    <w:rsid w:val="00933E9C"/>
    <w:pPr>
      <w:outlineLvl w:val="2"/>
    </w:pPr>
    <w:rPr>
      <w:color w:val="auto"/>
    </w:rPr>
  </w:style>
  <w:style w:type="paragraph" w:styleId="Titolo6">
    <w:name w:val="heading 6"/>
    <w:basedOn w:val="Normale"/>
    <w:next w:val="Normale"/>
    <w:link w:val="Titolo6Carattere"/>
    <w:qFormat/>
    <w:rsid w:val="00DF7C1E"/>
    <w:pPr>
      <w:spacing w:before="240" w:after="60"/>
      <w:outlineLvl w:val="5"/>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33E9C"/>
    <w:rPr>
      <w:sz w:val="24"/>
      <w:szCs w:val="24"/>
      <w:lang w:val="it-IT" w:eastAsia="zh-TW" w:bidi="ar-SA"/>
    </w:rPr>
  </w:style>
  <w:style w:type="paragraph" w:customStyle="1" w:styleId="Default">
    <w:name w:val="Default"/>
    <w:rsid w:val="00933E9C"/>
    <w:pPr>
      <w:autoSpaceDE w:val="0"/>
      <w:autoSpaceDN w:val="0"/>
      <w:adjustRightInd w:val="0"/>
    </w:pPr>
    <w:rPr>
      <w:color w:val="000000"/>
      <w:sz w:val="24"/>
      <w:szCs w:val="24"/>
      <w:lang w:eastAsia="zh-TW"/>
    </w:rPr>
  </w:style>
  <w:style w:type="paragraph" w:styleId="Paragrafoelenco">
    <w:name w:val="List Paragraph"/>
    <w:basedOn w:val="Normale"/>
    <w:qFormat/>
    <w:rsid w:val="00933E9C"/>
    <w:pPr>
      <w:ind w:left="720"/>
      <w:contextualSpacing/>
    </w:pPr>
    <w:rPr>
      <w:rFonts w:eastAsia="Times New Roman"/>
      <w:lang w:eastAsia="zh-TW"/>
    </w:rPr>
  </w:style>
  <w:style w:type="paragraph" w:styleId="Rientrocorpodeltesto3">
    <w:name w:val="Body Text Indent 3"/>
    <w:basedOn w:val="Normale"/>
    <w:link w:val="Rientrocorpodeltesto3Carattere"/>
    <w:unhideWhenUsed/>
    <w:rsid w:val="00933E9C"/>
    <w:pPr>
      <w:spacing w:after="120"/>
      <w:ind w:left="283"/>
    </w:pPr>
    <w:rPr>
      <w:rFonts w:eastAsia="Times New Roman"/>
      <w:sz w:val="16"/>
      <w:szCs w:val="16"/>
      <w:lang w:eastAsia="zh-TW"/>
    </w:rPr>
  </w:style>
  <w:style w:type="character" w:customStyle="1" w:styleId="Rientrocorpodeltesto3Carattere">
    <w:name w:val="Rientro corpo del testo 3 Carattere"/>
    <w:basedOn w:val="Carpredefinitoparagrafo"/>
    <w:link w:val="Rientrocorpodeltesto3"/>
    <w:rsid w:val="00933E9C"/>
    <w:rPr>
      <w:rFonts w:ascii="Calibri" w:hAnsi="Calibri"/>
      <w:sz w:val="16"/>
      <w:szCs w:val="16"/>
      <w:lang w:val="it-IT" w:eastAsia="zh-TW" w:bidi="ar-SA"/>
    </w:rPr>
  </w:style>
  <w:style w:type="paragraph" w:customStyle="1" w:styleId="rgscorpodeltesto">
    <w:name w:val="rgs_corpodeltesto"/>
    <w:rsid w:val="00933E9C"/>
    <w:pPr>
      <w:spacing w:after="120" w:line="360" w:lineRule="auto"/>
      <w:ind w:firstLine="799"/>
      <w:jc w:val="both"/>
    </w:pPr>
    <w:rPr>
      <w:sz w:val="24"/>
      <w:lang w:bidi="he-IL"/>
    </w:rPr>
  </w:style>
  <w:style w:type="paragraph" w:customStyle="1" w:styleId="Rientrocorpodeltesto1">
    <w:name w:val="Rientro corpo del testo+1"/>
    <w:basedOn w:val="Default"/>
    <w:next w:val="Default"/>
    <w:rsid w:val="00933E9C"/>
    <w:rPr>
      <w:rFonts w:eastAsia="Calibri"/>
      <w:color w:val="auto"/>
      <w:lang w:eastAsia="en-US"/>
    </w:rPr>
  </w:style>
  <w:style w:type="paragraph" w:customStyle="1" w:styleId="Normale2">
    <w:name w:val="Normale+2"/>
    <w:basedOn w:val="Default"/>
    <w:next w:val="Default"/>
    <w:rsid w:val="00933E9C"/>
    <w:rPr>
      <w:rFonts w:eastAsia="Calibri"/>
      <w:color w:val="auto"/>
      <w:lang w:eastAsia="en-US"/>
    </w:rPr>
  </w:style>
  <w:style w:type="paragraph" w:styleId="Pidipagina">
    <w:name w:val="footer"/>
    <w:basedOn w:val="Normale"/>
    <w:link w:val="PidipaginaCarattere"/>
    <w:unhideWhenUsed/>
    <w:rsid w:val="00933E9C"/>
    <w:pPr>
      <w:tabs>
        <w:tab w:val="center" w:pos="4819"/>
        <w:tab w:val="right" w:pos="9638"/>
      </w:tabs>
    </w:pPr>
  </w:style>
  <w:style w:type="character" w:customStyle="1" w:styleId="PidipaginaCarattere">
    <w:name w:val="Piè di pagina Carattere"/>
    <w:basedOn w:val="Carpredefinitoparagrafo"/>
    <w:link w:val="Pidipagina"/>
    <w:rsid w:val="00933E9C"/>
    <w:rPr>
      <w:rFonts w:ascii="Calibri" w:eastAsia="Calibri" w:hAnsi="Calibri"/>
      <w:sz w:val="22"/>
      <w:szCs w:val="22"/>
      <w:lang w:val="it-IT" w:eastAsia="en-US" w:bidi="ar-SA"/>
    </w:rPr>
  </w:style>
  <w:style w:type="character" w:customStyle="1" w:styleId="Titolo1Carattere">
    <w:name w:val="Titolo 1 Carattere"/>
    <w:basedOn w:val="Carpredefinitoparagrafo"/>
    <w:link w:val="Titolo1"/>
    <w:rsid w:val="00933E9C"/>
    <w:rPr>
      <w:rFonts w:ascii="Cambria" w:hAnsi="Cambria"/>
      <w:b/>
      <w:bCs/>
      <w:kern w:val="32"/>
      <w:sz w:val="32"/>
      <w:szCs w:val="32"/>
      <w:lang w:val="it-IT" w:eastAsia="en-US" w:bidi="ar-SA"/>
    </w:rPr>
  </w:style>
  <w:style w:type="character" w:customStyle="1" w:styleId="Titolo6Carattere">
    <w:name w:val="Titolo 6 Carattere"/>
    <w:basedOn w:val="Carpredefinitoparagrafo"/>
    <w:link w:val="Titolo6"/>
    <w:semiHidden/>
    <w:rsid w:val="00DF7C1E"/>
    <w:rPr>
      <w:rFonts w:eastAsia="Calibri"/>
      <w:b/>
      <w:bCs/>
      <w:sz w:val="22"/>
      <w:szCs w:val="22"/>
      <w:lang w:val="it-IT" w:eastAsia="en-US" w:bidi="ar-SA"/>
    </w:rPr>
  </w:style>
  <w:style w:type="paragraph" w:customStyle="1" w:styleId="toci">
    <w:name w:val="toci"/>
    <w:basedOn w:val="Normale"/>
    <w:rsid w:val="007E668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0">
    <w:name w:val="default"/>
    <w:basedOn w:val="Normale"/>
    <w:rsid w:val="007E668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style-span">
    <w:name w:val="apple-style-span"/>
    <w:basedOn w:val="Carpredefinitoparagrafo"/>
    <w:rsid w:val="007E668F"/>
  </w:style>
  <w:style w:type="paragraph" w:styleId="Testofumetto">
    <w:name w:val="Balloon Text"/>
    <w:basedOn w:val="Normale"/>
    <w:link w:val="TestofumettoCarattere"/>
    <w:rsid w:val="00EF1E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F1E2B"/>
    <w:rPr>
      <w:rFonts w:ascii="Tahoma" w:eastAsia="Calibri" w:hAnsi="Tahoma" w:cs="Tahoma"/>
      <w:sz w:val="16"/>
      <w:szCs w:val="16"/>
      <w:lang w:eastAsia="en-US"/>
    </w:rPr>
  </w:style>
  <w:style w:type="paragraph" w:styleId="Intestazione">
    <w:name w:val="header"/>
    <w:basedOn w:val="Normale"/>
    <w:link w:val="IntestazioneCarattere"/>
    <w:uiPriority w:val="99"/>
    <w:rsid w:val="001C7EA2"/>
    <w:pPr>
      <w:tabs>
        <w:tab w:val="center" w:pos="4819"/>
        <w:tab w:val="right" w:pos="9638"/>
      </w:tabs>
    </w:pPr>
  </w:style>
  <w:style w:type="character" w:customStyle="1" w:styleId="IntestazioneCarattere">
    <w:name w:val="Intestazione Carattere"/>
    <w:basedOn w:val="Carpredefinitoparagrafo"/>
    <w:link w:val="Intestazione"/>
    <w:uiPriority w:val="99"/>
    <w:rsid w:val="001C7EA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0464888">
      <w:bodyDiv w:val="1"/>
      <w:marLeft w:val="0"/>
      <w:marRight w:val="0"/>
      <w:marTop w:val="0"/>
      <w:marBottom w:val="0"/>
      <w:divBdr>
        <w:top w:val="none" w:sz="0" w:space="0" w:color="auto"/>
        <w:left w:val="none" w:sz="0" w:space="0" w:color="auto"/>
        <w:bottom w:val="none" w:sz="0" w:space="0" w:color="auto"/>
        <w:right w:val="none" w:sz="0" w:space="0" w:color="auto"/>
      </w:divBdr>
      <w:divsChild>
        <w:div w:id="209978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712</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Principi generali o postulati</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 generali o postulati</dc:title>
  <dc:subject/>
  <dc:creator>acasula</dc:creator>
  <cp:keywords/>
  <cp:lastModifiedBy>cinzia.simeone</cp:lastModifiedBy>
  <cp:revision>20</cp:revision>
  <cp:lastPrinted>2011-10-05T08:45:00Z</cp:lastPrinted>
  <dcterms:created xsi:type="dcterms:W3CDTF">2011-07-08T14:20:00Z</dcterms:created>
  <dcterms:modified xsi:type="dcterms:W3CDTF">2011-10-05T09:08:00Z</dcterms:modified>
</cp:coreProperties>
</file>